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74" w:rsidRDefault="004C69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4C6974" w:rsidRDefault="004C6974">
      <w:pPr>
        <w:pStyle w:val="ConsPlusNormal"/>
        <w:jc w:val="both"/>
        <w:outlineLvl w:val="0"/>
      </w:pPr>
    </w:p>
    <w:p w:rsidR="004C6974" w:rsidRDefault="004C6974">
      <w:pPr>
        <w:pStyle w:val="ConsPlusNormal"/>
        <w:outlineLvl w:val="0"/>
      </w:pPr>
      <w:r>
        <w:t>Зарегистрировано в Минюсте России 25 сентября 2023 г. N 75321</w:t>
      </w:r>
    </w:p>
    <w:p w:rsidR="004C6974" w:rsidRDefault="004C69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974" w:rsidRDefault="004C6974">
      <w:pPr>
        <w:pStyle w:val="ConsPlusNormal"/>
      </w:pPr>
    </w:p>
    <w:p w:rsidR="004C6974" w:rsidRDefault="004C697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C6974" w:rsidRDefault="004C6974">
      <w:pPr>
        <w:pStyle w:val="ConsPlusTitle"/>
        <w:jc w:val="center"/>
      </w:pPr>
    </w:p>
    <w:p w:rsidR="004C6974" w:rsidRDefault="004C6974">
      <w:pPr>
        <w:pStyle w:val="ConsPlusTitle"/>
        <w:jc w:val="center"/>
      </w:pPr>
      <w:r>
        <w:t>ПРИКАЗ</w:t>
      </w:r>
    </w:p>
    <w:p w:rsidR="004C6974" w:rsidRDefault="004C6974">
      <w:pPr>
        <w:pStyle w:val="ConsPlusTitle"/>
        <w:jc w:val="center"/>
      </w:pPr>
      <w:r>
        <w:t>от 14 июня 2023 г. N 396</w:t>
      </w:r>
    </w:p>
    <w:p w:rsidR="004C6974" w:rsidRDefault="004C6974">
      <w:pPr>
        <w:pStyle w:val="ConsPlusTitle"/>
        <w:jc w:val="center"/>
      </w:pPr>
    </w:p>
    <w:p w:rsidR="004C6974" w:rsidRDefault="004C6974">
      <w:pPr>
        <w:pStyle w:val="ConsPlusTitle"/>
        <w:jc w:val="center"/>
      </w:pPr>
      <w:r>
        <w:t>ОБ УТВЕРЖДЕНИИ ПЕРЕЧНЯ</w:t>
      </w:r>
    </w:p>
    <w:p w:rsidR="004C6974" w:rsidRDefault="004C6974">
      <w:pPr>
        <w:pStyle w:val="ConsPlusTitle"/>
        <w:jc w:val="center"/>
      </w:pPr>
      <w:r>
        <w:t>ОБЪЕКТОВ ИНФРАСТРУКТУРЫ, ЗАТРАТЫ В ОТНОШЕНИИ КОТОРЫХ</w:t>
      </w:r>
    </w:p>
    <w:p w:rsidR="004C6974" w:rsidRDefault="004C6974">
      <w:pPr>
        <w:pStyle w:val="ConsPlusTitle"/>
        <w:jc w:val="center"/>
      </w:pPr>
      <w:r>
        <w:t>ПОДЛЕЖАТ ВОЗМЕЩЕНИЮ В СООТВЕТСТВИИ С ПРАВИЛАМИ ВОЗМЕЩЕНИЯ</w:t>
      </w:r>
    </w:p>
    <w:p w:rsidR="004C6974" w:rsidRDefault="004C6974">
      <w:pPr>
        <w:pStyle w:val="ConsPlusTitle"/>
        <w:jc w:val="center"/>
      </w:pPr>
      <w:r>
        <w:t>ЗАТРАТ, УКАЗАННЫХ В ЧАСТИ 1 СТАТЬИ 15 ФЕДЕРАЛЬНОГО ЗАКОНА</w:t>
      </w:r>
    </w:p>
    <w:p w:rsidR="004C6974" w:rsidRDefault="004C6974">
      <w:pPr>
        <w:pStyle w:val="ConsPlusTitle"/>
        <w:jc w:val="center"/>
      </w:pPr>
      <w:r>
        <w:t>"О ЗАЩИТЕ И ПООЩРЕНИИ КАПИТАЛОВЛОЖЕНИЙ В РОССИЙСКОЙ</w:t>
      </w:r>
    </w:p>
    <w:p w:rsidR="004C6974" w:rsidRDefault="004C6974">
      <w:pPr>
        <w:pStyle w:val="ConsPlusTitle"/>
        <w:jc w:val="center"/>
      </w:pPr>
      <w:r>
        <w:t>ФЕДЕРАЦИИ", ПОНЕСЕННЫХ ОРГАНИЗАЦИЕЙ, РЕАЛИЗУЮЩЕЙ ПРОЕКТ,</w:t>
      </w:r>
    </w:p>
    <w:p w:rsidR="004C6974" w:rsidRDefault="004C6974">
      <w:pPr>
        <w:pStyle w:val="ConsPlusTitle"/>
        <w:jc w:val="center"/>
      </w:pPr>
      <w:r>
        <w:t>В РАМКАХ ОСУЩЕСТВЛЕНИЯ ИНВЕСТИЦИОННОГО ПРОЕКТА, В ОТНОШЕНИИ</w:t>
      </w:r>
    </w:p>
    <w:p w:rsidR="004C6974" w:rsidRDefault="004C6974">
      <w:pPr>
        <w:pStyle w:val="ConsPlusTitle"/>
        <w:jc w:val="center"/>
      </w:pPr>
      <w:r>
        <w:t>КОТОРОГО ЗАКЛЮЧЕНО СОГЛАШЕНИЕ О ЗАЩИТЕ И ПООЩРЕНИИ</w:t>
      </w:r>
    </w:p>
    <w:p w:rsidR="004C6974" w:rsidRDefault="004C6974">
      <w:pPr>
        <w:pStyle w:val="ConsPlusTitle"/>
        <w:jc w:val="center"/>
      </w:pPr>
      <w:r>
        <w:t>КАПИТАЛОВЛОЖЕНИЙ, УТВЕРЖДЕННЫМИ ПОСТАНОВЛЕНИЕМ</w:t>
      </w:r>
    </w:p>
    <w:p w:rsidR="004C6974" w:rsidRDefault="004C6974">
      <w:pPr>
        <w:pStyle w:val="ConsPlusTitle"/>
        <w:jc w:val="center"/>
      </w:pPr>
      <w:r>
        <w:t>ПРАВИТЕЛЬСТВА РОССИЙСКОЙ ФЕДЕРАЦИИ ОТ 3 ОКТЯБРЯ</w:t>
      </w:r>
    </w:p>
    <w:p w:rsidR="004C6974" w:rsidRDefault="004C6974">
      <w:pPr>
        <w:pStyle w:val="ConsPlusTitle"/>
        <w:jc w:val="center"/>
      </w:pPr>
      <w:r>
        <w:t>2020 Г. N 1599, И ПАРАМЕТРОВ СВОБОДНОЙ МОЩНОСТИ,</w:t>
      </w:r>
    </w:p>
    <w:p w:rsidR="004C6974" w:rsidRDefault="004C6974">
      <w:pPr>
        <w:pStyle w:val="ConsPlusTitle"/>
        <w:jc w:val="center"/>
      </w:pPr>
      <w:r>
        <w:t>УКАЗАННЫХ В АБЗАЦЕ ТРЕТЬЕМ ПУНКТА 12</w:t>
      </w:r>
    </w:p>
    <w:p w:rsidR="004C6974" w:rsidRDefault="004C6974">
      <w:pPr>
        <w:pStyle w:val="ConsPlusTitle"/>
        <w:jc w:val="center"/>
      </w:pPr>
      <w:r>
        <w:t>УКАЗАННЫХ ПРАВИЛ</w:t>
      </w:r>
    </w:p>
    <w:p w:rsidR="004C6974" w:rsidRDefault="004C6974">
      <w:pPr>
        <w:pStyle w:val="ConsPlusNormal"/>
        <w:ind w:firstLine="540"/>
        <w:jc w:val="both"/>
      </w:pPr>
    </w:p>
    <w:p w:rsidR="004C6974" w:rsidRDefault="004C697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четвертым пункта 12</w:t>
        </w:r>
      </w:hyperlink>
      <w:r>
        <w:t xml:space="preserve">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1599, приказываю:</w:t>
      </w:r>
    </w:p>
    <w:p w:rsidR="004C6974" w:rsidRDefault="004C6974">
      <w:pPr>
        <w:pStyle w:val="ConsPlusNormal"/>
        <w:spacing w:before="220"/>
        <w:ind w:firstLine="540"/>
        <w:jc w:val="both"/>
      </w:pPr>
      <w:r>
        <w:t>1. Утвердить:</w:t>
      </w:r>
    </w:p>
    <w:p w:rsidR="004C6974" w:rsidRDefault="004C6974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перечень</w:t>
        </w:r>
      </w:hyperlink>
      <w:r>
        <w:t xml:space="preserve"> объектов инфраструктуры, затраты в отношении которых подлежат возмещению в соответствии с Правилами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утвержденными постановлением Правительства Российской Федерации от 3 октября 2020 г. N 1599, согласно приложению N 1 к настоящему приказу;</w:t>
      </w:r>
    </w:p>
    <w:p w:rsidR="004C6974" w:rsidRDefault="004C6974">
      <w:pPr>
        <w:pStyle w:val="ConsPlusNormal"/>
        <w:spacing w:before="220"/>
        <w:ind w:firstLine="540"/>
        <w:jc w:val="both"/>
      </w:pPr>
      <w:hyperlink w:anchor="P224">
        <w:r>
          <w:rPr>
            <w:color w:val="0000FF"/>
          </w:rPr>
          <w:t>параметры</w:t>
        </w:r>
      </w:hyperlink>
      <w:r>
        <w:t xml:space="preserve"> свободной мощности объектов инфраструктуры, указанные в абзаце третьем пункта 12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1599, согласно приложению N 2 к настоящему приказу.</w:t>
      </w:r>
    </w:p>
    <w:p w:rsidR="004C6974" w:rsidRDefault="004C69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Минэкономразвития России от 14 декабря 2020 г. N 825 "Об утверждении перечня объектов инфраструктуры, затраты в отношении которых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</w:t>
      </w:r>
      <w:r>
        <w:lastRenderedPageBreak/>
        <w:t>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Федерации от 3 октября 2020 г. N 1599, и параметров свободной мощности таких объектов инфраструктуры" (зарегистрирован Минюстом России 31 декабря 2020 г., регистрационный N 62014).</w:t>
      </w:r>
    </w:p>
    <w:p w:rsidR="004C6974" w:rsidRDefault="004C6974">
      <w:pPr>
        <w:pStyle w:val="ConsPlusNormal"/>
        <w:ind w:firstLine="540"/>
        <w:jc w:val="both"/>
      </w:pPr>
    </w:p>
    <w:p w:rsidR="004C6974" w:rsidRDefault="004C6974">
      <w:pPr>
        <w:pStyle w:val="ConsPlusNormal"/>
        <w:jc w:val="right"/>
      </w:pPr>
      <w:r>
        <w:t>Министр</w:t>
      </w:r>
    </w:p>
    <w:p w:rsidR="004C6974" w:rsidRDefault="004C6974">
      <w:pPr>
        <w:pStyle w:val="ConsPlusNormal"/>
        <w:jc w:val="right"/>
      </w:pPr>
      <w:r>
        <w:t>М.Г.РЕШЕТНИКОВ</w:t>
      </w:r>
    </w:p>
    <w:p w:rsidR="004C6974" w:rsidRDefault="004C6974">
      <w:pPr>
        <w:pStyle w:val="ConsPlusNormal"/>
        <w:jc w:val="right"/>
      </w:pPr>
    </w:p>
    <w:p w:rsidR="004C6974" w:rsidRDefault="004C6974">
      <w:pPr>
        <w:pStyle w:val="ConsPlusNormal"/>
        <w:jc w:val="right"/>
      </w:pPr>
    </w:p>
    <w:p w:rsidR="004C6974" w:rsidRDefault="004C6974">
      <w:pPr>
        <w:pStyle w:val="ConsPlusNormal"/>
        <w:jc w:val="right"/>
      </w:pPr>
    </w:p>
    <w:p w:rsidR="004C6974" w:rsidRDefault="004C6974">
      <w:pPr>
        <w:pStyle w:val="ConsPlusNormal"/>
        <w:jc w:val="right"/>
      </w:pPr>
    </w:p>
    <w:p w:rsidR="004C6974" w:rsidRDefault="004C6974">
      <w:pPr>
        <w:pStyle w:val="ConsPlusNormal"/>
        <w:jc w:val="right"/>
      </w:pPr>
    </w:p>
    <w:p w:rsidR="004C6974" w:rsidRDefault="004C6974">
      <w:pPr>
        <w:pStyle w:val="ConsPlusNormal"/>
        <w:jc w:val="right"/>
        <w:outlineLvl w:val="0"/>
      </w:pPr>
      <w:r>
        <w:t>Приложение N 1</w:t>
      </w:r>
    </w:p>
    <w:p w:rsidR="004C6974" w:rsidRDefault="004C6974">
      <w:pPr>
        <w:pStyle w:val="ConsPlusNormal"/>
        <w:jc w:val="right"/>
      </w:pPr>
      <w:r>
        <w:t>к приказу Минэкономразвития России</w:t>
      </w:r>
    </w:p>
    <w:p w:rsidR="004C6974" w:rsidRDefault="004C6974">
      <w:pPr>
        <w:pStyle w:val="ConsPlusNormal"/>
        <w:jc w:val="right"/>
      </w:pPr>
      <w:r>
        <w:t>от 14.06.2023 N 396</w:t>
      </w:r>
    </w:p>
    <w:p w:rsidR="004C6974" w:rsidRDefault="004C6974">
      <w:pPr>
        <w:pStyle w:val="ConsPlusNormal"/>
        <w:ind w:firstLine="540"/>
        <w:jc w:val="both"/>
      </w:pPr>
    </w:p>
    <w:p w:rsidR="004C6974" w:rsidRDefault="004C6974">
      <w:pPr>
        <w:pStyle w:val="ConsPlusTitle"/>
        <w:jc w:val="center"/>
      </w:pPr>
      <w:bookmarkStart w:id="1" w:name="P40"/>
      <w:bookmarkEnd w:id="1"/>
      <w:r>
        <w:t>ПЕРЕЧЕНЬ</w:t>
      </w:r>
    </w:p>
    <w:p w:rsidR="004C6974" w:rsidRDefault="004C6974">
      <w:pPr>
        <w:pStyle w:val="ConsPlusTitle"/>
        <w:jc w:val="center"/>
      </w:pPr>
      <w:r>
        <w:t>ОБЪЕКТОВ ИНФРАСТРУКТУРЫ, ЗАТРАТЫ В ОТНОШЕНИИ КОТОРЫХ</w:t>
      </w:r>
    </w:p>
    <w:p w:rsidR="004C6974" w:rsidRDefault="004C6974">
      <w:pPr>
        <w:pStyle w:val="ConsPlusTitle"/>
        <w:jc w:val="center"/>
      </w:pPr>
      <w:r>
        <w:t>ПОДЛЕЖАТ ВОЗМЕЩЕНИЮ В СООТВЕТСТВИИ С ПРАВИЛАМИ ВОЗМЕЩЕНИЯ</w:t>
      </w:r>
    </w:p>
    <w:p w:rsidR="004C6974" w:rsidRDefault="004C6974">
      <w:pPr>
        <w:pStyle w:val="ConsPlusTitle"/>
        <w:jc w:val="center"/>
      </w:pPr>
      <w:r>
        <w:t>ЗАТРАТ, УКАЗАННЫХ В ЧАСТИ 1 СТАТЬИ 15 ФЕДЕРАЛЬНОГО ЗАКОНА</w:t>
      </w:r>
    </w:p>
    <w:p w:rsidR="004C6974" w:rsidRDefault="004C6974">
      <w:pPr>
        <w:pStyle w:val="ConsPlusTitle"/>
        <w:jc w:val="center"/>
      </w:pPr>
      <w:r>
        <w:t>"О ЗАЩИТЕ И ПООЩРЕНИИ КАПИТАЛОВЛОЖЕНИЙ В РОССИЙСКОЙ</w:t>
      </w:r>
    </w:p>
    <w:p w:rsidR="004C6974" w:rsidRDefault="004C6974">
      <w:pPr>
        <w:pStyle w:val="ConsPlusTitle"/>
        <w:jc w:val="center"/>
      </w:pPr>
      <w:r>
        <w:t>ФЕДЕРАЦИИ", ПОНЕСЕННЫХ ОРГАНИЗАЦИЕЙ, РЕАЛИЗУЮЩЕЙ ПРОЕКТ,</w:t>
      </w:r>
    </w:p>
    <w:p w:rsidR="004C6974" w:rsidRDefault="004C6974">
      <w:pPr>
        <w:pStyle w:val="ConsPlusTitle"/>
        <w:jc w:val="center"/>
      </w:pPr>
      <w:r>
        <w:t>В РАМКАХ ОСУЩЕСТВЛЕНИЯ ИНВЕСТИЦИОННОГО ПРОЕКТА, В ОТНОШЕНИИ</w:t>
      </w:r>
    </w:p>
    <w:p w:rsidR="004C6974" w:rsidRDefault="004C6974">
      <w:pPr>
        <w:pStyle w:val="ConsPlusTitle"/>
        <w:jc w:val="center"/>
      </w:pPr>
      <w:r>
        <w:t>КОТОРОГО ЗАКЛЮЧЕНО СОГЛАШЕНИЕ О ЗАЩИТЕ И ПООЩРЕНИИ</w:t>
      </w:r>
    </w:p>
    <w:p w:rsidR="004C6974" w:rsidRDefault="004C6974">
      <w:pPr>
        <w:pStyle w:val="ConsPlusTitle"/>
        <w:jc w:val="center"/>
      </w:pPr>
      <w:r>
        <w:t>КАПИТАЛОВЛОЖЕНИЙ, УТВЕРЖДЕННЫМИ ПОСТАНОВЛЕНИЕМ</w:t>
      </w:r>
    </w:p>
    <w:p w:rsidR="004C6974" w:rsidRDefault="004C6974">
      <w:pPr>
        <w:pStyle w:val="ConsPlusTitle"/>
        <w:jc w:val="center"/>
      </w:pPr>
      <w:r>
        <w:t>ПРАВИТЕЛЬСТВА РОССИЙСКОЙ ФЕДЕРАЦИИ</w:t>
      </w:r>
    </w:p>
    <w:p w:rsidR="004C6974" w:rsidRDefault="004C6974">
      <w:pPr>
        <w:pStyle w:val="ConsPlusTitle"/>
        <w:jc w:val="center"/>
      </w:pPr>
      <w:r>
        <w:t>ОТ 3 ОКТЯБРЯ 2020 Г. N 1599</w:t>
      </w:r>
    </w:p>
    <w:p w:rsidR="004C6974" w:rsidRDefault="004C697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37"/>
      </w:tblGrid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37" w:type="dxa"/>
          </w:tcPr>
          <w:p w:rsidR="004C6974" w:rsidRDefault="004C69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Транспортная инфраструктура, включающая в себя также иные обеспечивающие функционирование транспортной инфраструктуры здания, сооружения, устройства и оборудование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недвижимого имущества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Автомобильные дороги, в том числе мосты, путепроводы, тоннели, эстакады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Автовокзалы и автостанции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Аэропорты, вертодромы, аэродромы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Аэровокзалы (терминалы), в том числе объекты капитального строительства, необходимые для посадки на воздушное судно и высадки из него пассажиров, погрузки, разгрузки и хранения грузов, перевозимых воздушным судном, обслуживания и обеспечения безопасности пассажиров и грузов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Посадочные площадки, обустроенные места для приводнения и причаливания воздушных судов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Объекты, необходимые для взлета, посадки, руления воздушных судов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lastRenderedPageBreak/>
              <w:t>1.1.7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Железнодорожные вокзалы и станции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Локомотивные и моторвагонные депо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Железнодорожные мосты, эстакады железнодорожные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Железнодорожные линии, железнодорожные пути (общего и необщего пользования)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Предохранительные и улавливающие тупики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Пункты технологического обслуживания локомотивов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Ограждения объектов железнодорожной инфраструктуры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Вагоноопрокидыватели, оборудование железнодорожных переездов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Склады, предназначенные для кратковременного хранения грузов в периоды между приемом их к перевозке и погрузкой в вагоны, а также выгрузкой из вагонов и вывозом на склады грузополучателей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Транспортно-пересадочные узлы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1.1.17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Электродепо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1.1.18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Внутренние водные пути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1.1.19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Порты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1.1.20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Акватории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Морские терминалы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Портовые гидротехнические сооружения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Судоходные гидротехнические сооружения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Пункты отстоя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Плавучие объекты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Паромные переправы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1.1.27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систем связи, навигации и управления движением транспортных средств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движимого имущества, неразрывно связанные физически и (или) технологически с объектами вышеуказанного недвижимого имущества, предназначенные для обеспечения движения транспортных средств, перемещения граждан или товаров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Энергетическая инфраструктура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Объекты электроэнергетики </w:t>
            </w:r>
            <w:hyperlink w:anchor="P212">
              <w:r>
                <w:rPr>
                  <w:color w:val="0000FF"/>
                </w:rPr>
                <w:t>&lt;1&gt;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Энергопринимающие устройства и установки </w:t>
            </w:r>
            <w:hyperlink w:anchor="P212">
              <w:r>
                <w:rPr>
                  <w:color w:val="0000FF"/>
                </w:rPr>
                <w:t>&lt;1&gt;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Объекты электросетевого хозяйства </w:t>
            </w:r>
            <w:hyperlink w:anchor="P212">
              <w:r>
                <w:rPr>
                  <w:color w:val="0000FF"/>
                </w:rPr>
                <w:t>&lt;1&gt;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Объекты теплоснабжения </w:t>
            </w:r>
            <w:hyperlink w:anchor="P213">
              <w:r>
                <w:rPr>
                  <w:color w:val="0000FF"/>
                </w:rPr>
                <w:t>&lt;2&gt;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Теплопотребляющие установки </w:t>
            </w:r>
            <w:hyperlink w:anchor="P213">
              <w:r>
                <w:rPr>
                  <w:color w:val="0000FF"/>
                </w:rPr>
                <w:t>&lt;2&gt;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Источники тепловой энергии </w:t>
            </w:r>
            <w:hyperlink w:anchor="P213">
              <w:r>
                <w:rPr>
                  <w:color w:val="0000FF"/>
                </w:rPr>
                <w:t>&lt;2&gt;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Тепловые сети </w:t>
            </w:r>
            <w:hyperlink w:anchor="P213">
              <w:r>
                <w:rPr>
                  <w:color w:val="0000FF"/>
                </w:rPr>
                <w:t>&lt;2&gt;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 xml:space="preserve">Объекты газораспределительной системы </w:t>
            </w:r>
            <w:hyperlink w:anchor="P214">
              <w:r>
                <w:rPr>
                  <w:color w:val="0000FF"/>
                </w:rPr>
                <w:t>&lt;3&gt;</w:t>
              </w:r>
            </w:hyperlink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Коммунальная инфраструктура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тепло-, газо- и энергоснабжения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водоснабжения, водоотведения, канализации, дождевой канализации, чистки сточных вод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Централизованные системы горячего водоснабжения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Централизованные системы холодного водоснабжения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Централизованные системы водоотведения (канализации)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Водопроводные сети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Нецентрализованные системы горячего водоснабжения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Нецентрализованные системы холодного водоснабжения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Канализационные сети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Дождевая канализация, ливневые системы водоотведения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Объекты, обеспечивающие чистку сточных вод и утилизацию осадков сточных вод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Объекты, на которых осуществляется обработка, утилизация, обезвреживание и размещение твердых коммунальных отходов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воздухоснабжения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Объекты, предназначенные для благоустройства территорий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телефонизации и связи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Социальная инфраструктура, в том числе иные социально значимые объекты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здравоохранения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Амбулатории, в том числе врачебные, больницы, в том числе детские, больницы и станции скорой медицинской помощи, поликлиники, в том числе детские, фельдшерские здравпункты и фельдшерско-акушерские пункты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образования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Дошкольные образовательные организации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Общеобразовательные организации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lastRenderedPageBreak/>
              <w:t>4.2.3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Профессиональные образовательные организации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социального обеспечения и социальной защиты населения, общественного питания, бытового обслуживания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культуры, досуга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физической культуры и спорта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спорта, в том числе спортивные сооружения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Жилые помещения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Жилые помещения, включая общежития, находящиеся в том числе в вахтовых поселках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Цифровая инфраструктура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цифровой инфраструктуры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Средства связи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Линии связи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Информационные технологии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Информационные системы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Информационно-телекоммуникационные сети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Сети электросвязи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Центры обработки данных</w:t>
            </w:r>
          </w:p>
        </w:tc>
      </w:tr>
      <w:tr w:rsidR="004C6974">
        <w:tc>
          <w:tcPr>
            <w:tcW w:w="1020" w:type="dxa"/>
          </w:tcPr>
          <w:p w:rsidR="004C6974" w:rsidRDefault="004C69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037" w:type="dxa"/>
            <w:vAlign w:val="center"/>
          </w:tcPr>
          <w:p w:rsidR="004C6974" w:rsidRDefault="004C6974">
            <w:pPr>
              <w:pStyle w:val="ConsPlusNormal"/>
              <w:jc w:val="both"/>
            </w:pPr>
            <w:r>
              <w:t>Объекты иных инфраструктур, необходимые для поиска, сбора, хранения, обработки, предоставления, доставки и распространения информации</w:t>
            </w:r>
          </w:p>
        </w:tc>
      </w:tr>
    </w:tbl>
    <w:p w:rsidR="004C6974" w:rsidRDefault="004C6974">
      <w:pPr>
        <w:pStyle w:val="ConsPlusNormal"/>
        <w:ind w:firstLine="540"/>
        <w:jc w:val="both"/>
      </w:pPr>
    </w:p>
    <w:p w:rsidR="004C6974" w:rsidRDefault="004C6974">
      <w:pPr>
        <w:pStyle w:val="ConsPlusNormal"/>
        <w:ind w:firstLine="540"/>
        <w:jc w:val="both"/>
      </w:pPr>
      <w:r>
        <w:t>--------------------------------</w:t>
      </w:r>
    </w:p>
    <w:p w:rsidR="004C6974" w:rsidRDefault="004C6974">
      <w:pPr>
        <w:pStyle w:val="ConsPlusNormal"/>
        <w:spacing w:before="220"/>
        <w:ind w:firstLine="540"/>
        <w:jc w:val="both"/>
      </w:pPr>
      <w:bookmarkStart w:id="2" w:name="P212"/>
      <w:bookmarkEnd w:id="2"/>
      <w:r>
        <w:t>&lt;1&gt; Определенные законодательством Российской Федерации об электроэнергетике.</w:t>
      </w:r>
    </w:p>
    <w:p w:rsidR="004C6974" w:rsidRDefault="004C6974">
      <w:pPr>
        <w:pStyle w:val="ConsPlusNormal"/>
        <w:spacing w:before="220"/>
        <w:ind w:firstLine="540"/>
        <w:jc w:val="both"/>
      </w:pPr>
      <w:bookmarkStart w:id="3" w:name="P213"/>
      <w:bookmarkEnd w:id="3"/>
      <w:r>
        <w:t>&lt;2&gt; Определенные законодательством Российской Федерации о теплоснабжении.</w:t>
      </w:r>
    </w:p>
    <w:p w:rsidR="004C6974" w:rsidRDefault="004C6974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&lt;3&gt; Определенные законодательством Российской Федерации о газоснабжении.</w:t>
      </w:r>
    </w:p>
    <w:p w:rsidR="004C6974" w:rsidRDefault="004C6974">
      <w:pPr>
        <w:pStyle w:val="ConsPlusNormal"/>
        <w:ind w:firstLine="540"/>
        <w:jc w:val="both"/>
      </w:pPr>
    </w:p>
    <w:p w:rsidR="004C6974" w:rsidRDefault="004C6974">
      <w:pPr>
        <w:pStyle w:val="ConsPlusNormal"/>
        <w:jc w:val="center"/>
      </w:pPr>
    </w:p>
    <w:p w:rsidR="004C6974" w:rsidRDefault="004C6974">
      <w:pPr>
        <w:pStyle w:val="ConsPlusNormal"/>
        <w:jc w:val="center"/>
      </w:pPr>
    </w:p>
    <w:p w:rsidR="004C6974" w:rsidRDefault="004C6974">
      <w:pPr>
        <w:pStyle w:val="ConsPlusNormal"/>
        <w:jc w:val="center"/>
      </w:pPr>
    </w:p>
    <w:p w:rsidR="004C6974" w:rsidRDefault="004C6974">
      <w:pPr>
        <w:pStyle w:val="ConsPlusNormal"/>
        <w:jc w:val="center"/>
      </w:pPr>
    </w:p>
    <w:p w:rsidR="004C6974" w:rsidRDefault="004C6974">
      <w:pPr>
        <w:pStyle w:val="ConsPlusNormal"/>
        <w:jc w:val="right"/>
        <w:outlineLvl w:val="0"/>
      </w:pPr>
      <w:r>
        <w:t>Приложение N 2</w:t>
      </w:r>
    </w:p>
    <w:p w:rsidR="004C6974" w:rsidRDefault="004C6974">
      <w:pPr>
        <w:pStyle w:val="ConsPlusNormal"/>
        <w:jc w:val="right"/>
      </w:pPr>
      <w:r>
        <w:t>к приказу Минэкономразвития России</w:t>
      </w:r>
    </w:p>
    <w:p w:rsidR="004C6974" w:rsidRDefault="004C6974">
      <w:pPr>
        <w:pStyle w:val="ConsPlusNormal"/>
        <w:jc w:val="right"/>
      </w:pPr>
      <w:r>
        <w:t>от 14.06.2023 N 396</w:t>
      </w:r>
    </w:p>
    <w:p w:rsidR="004C6974" w:rsidRDefault="004C6974">
      <w:pPr>
        <w:pStyle w:val="ConsPlusNormal"/>
        <w:jc w:val="center"/>
      </w:pPr>
    </w:p>
    <w:p w:rsidR="004C6974" w:rsidRDefault="004C6974">
      <w:pPr>
        <w:pStyle w:val="ConsPlusTitle"/>
        <w:jc w:val="center"/>
      </w:pPr>
      <w:bookmarkStart w:id="5" w:name="P224"/>
      <w:bookmarkEnd w:id="5"/>
      <w:r>
        <w:t>ПАРАМЕТРЫ</w:t>
      </w:r>
    </w:p>
    <w:p w:rsidR="004C6974" w:rsidRDefault="004C6974">
      <w:pPr>
        <w:pStyle w:val="ConsPlusTitle"/>
        <w:jc w:val="center"/>
      </w:pPr>
      <w:r>
        <w:t>СВОБОДНОЙ МОЩНОСТИ ОБЪЕКТОВ ИНФРАСТРУКТУРЫ, УКАЗАННЫЕ</w:t>
      </w:r>
    </w:p>
    <w:p w:rsidR="004C6974" w:rsidRDefault="004C6974">
      <w:pPr>
        <w:pStyle w:val="ConsPlusTitle"/>
        <w:jc w:val="center"/>
      </w:pPr>
      <w:r>
        <w:t>В АБЗАЦЕ ТРЕТЬЕМ ПУНКТА 12 ПРАВИЛ ВОЗМЕЩЕНИЯ ЗАТРАТ,</w:t>
      </w:r>
    </w:p>
    <w:p w:rsidR="004C6974" w:rsidRDefault="004C6974">
      <w:pPr>
        <w:pStyle w:val="ConsPlusTitle"/>
        <w:jc w:val="center"/>
      </w:pPr>
      <w:r>
        <w:t>УКАЗАННЫХ В ЧАСТИ 1 СТАТЬИ 15 ФЕДЕРАЛЬНОГО ЗАКОНА "О ЗАЩИТЕ</w:t>
      </w:r>
    </w:p>
    <w:p w:rsidR="004C6974" w:rsidRDefault="004C6974">
      <w:pPr>
        <w:pStyle w:val="ConsPlusTitle"/>
        <w:jc w:val="center"/>
      </w:pPr>
      <w:r>
        <w:lastRenderedPageBreak/>
        <w:t>И ПООЩРЕНИИ КАПИТАЛОВЛОЖЕНИЙ В РОССИЙСКОЙ ФЕДЕРАЦИИ",</w:t>
      </w:r>
    </w:p>
    <w:p w:rsidR="004C6974" w:rsidRDefault="004C6974">
      <w:pPr>
        <w:pStyle w:val="ConsPlusTitle"/>
        <w:jc w:val="center"/>
      </w:pPr>
      <w:r>
        <w:t>ПОНЕСЕННЫХ ОРГАНИЗАЦИЕЙ, РЕАЛИЗУЮЩЕЙ ПРОЕКТ, В РАМКАХ</w:t>
      </w:r>
    </w:p>
    <w:p w:rsidR="004C6974" w:rsidRDefault="004C6974">
      <w:pPr>
        <w:pStyle w:val="ConsPlusTitle"/>
        <w:jc w:val="center"/>
      </w:pPr>
      <w:r>
        <w:t>ОСУЩЕСТВЛЕНИЯ ИНВЕСТИЦИОННОГО ПРОЕКТА, В ОТНОШЕНИИ КОТОРОГО</w:t>
      </w:r>
    </w:p>
    <w:p w:rsidR="004C6974" w:rsidRDefault="004C6974">
      <w:pPr>
        <w:pStyle w:val="ConsPlusTitle"/>
        <w:jc w:val="center"/>
      </w:pPr>
      <w:r>
        <w:t>ЗАКЛЮЧЕНО СОГЛАШЕНИЕ О ЗАЩИТЕ И ПООЩРЕНИИ КАПИТАЛОВЛОЖЕНИЙ,</w:t>
      </w:r>
    </w:p>
    <w:p w:rsidR="004C6974" w:rsidRDefault="004C6974">
      <w:pPr>
        <w:pStyle w:val="ConsPlusTitle"/>
        <w:jc w:val="center"/>
      </w:pPr>
      <w:r>
        <w:t>УТВЕРЖДЕННЫХ ПОСТАНОВЛЕНИЕМ ПРАВИТЕЛЬСТВА РОССИЙСКОЙ</w:t>
      </w:r>
    </w:p>
    <w:p w:rsidR="004C6974" w:rsidRDefault="004C6974">
      <w:pPr>
        <w:pStyle w:val="ConsPlusTitle"/>
        <w:jc w:val="center"/>
      </w:pPr>
      <w:r>
        <w:t>ФЕДЕРАЦИИ ОТ 3 ОКТЯБРЯ 2020 Г. N 1599</w:t>
      </w:r>
    </w:p>
    <w:p w:rsidR="004C6974" w:rsidRDefault="004C6974">
      <w:pPr>
        <w:pStyle w:val="ConsPlusNormal"/>
        <w:jc w:val="center"/>
      </w:pPr>
    </w:p>
    <w:p w:rsidR="004C6974" w:rsidRDefault="004C6974">
      <w:pPr>
        <w:pStyle w:val="ConsPlusNormal"/>
        <w:ind w:firstLine="540"/>
        <w:jc w:val="both"/>
      </w:pPr>
      <w:r>
        <w:t xml:space="preserve">Параметры свободной мощности объекта инфраструктуры, указанные в </w:t>
      </w:r>
      <w:hyperlink r:id="rId7">
        <w:r>
          <w:rPr>
            <w:color w:val="0000FF"/>
          </w:rPr>
          <w:t>абзаце третьем пункта 12</w:t>
        </w:r>
      </w:hyperlink>
      <w:r>
        <w:t xml:space="preserve">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 (далее соответственно - Правила, параметры свободной мощности, проект), рассчитываются в соответствующих единицах измерения параметров мощности объекта инфраструктуры как разница между мощностью объекта инфраструктуры, указанной в паспорте объекта инфраструктуры, представленного организацией, реализующей проект, в Минэкономразвития России, по </w:t>
      </w:r>
      <w:hyperlink r:id="rId8">
        <w:r>
          <w:rPr>
            <w:color w:val="0000FF"/>
          </w:rPr>
          <w:t>форме</w:t>
        </w:r>
      </w:hyperlink>
      <w:r>
        <w:t xml:space="preserve">, утверждаемой Минэкономразвития России в соответствии с </w:t>
      </w:r>
      <w:hyperlink r:id="rId9">
        <w:r>
          <w:rPr>
            <w:color w:val="0000FF"/>
          </w:rPr>
          <w:t>пунктом 26</w:t>
        </w:r>
      </w:hyperlink>
      <w:r>
        <w:t xml:space="preserve"> Правил (далее - паспорт объекта инфраструктуры), и мощностью объекта инфраструктуры, необходимой для обеспечения реализации проекта, указанной в паспорте объекта инфраструктуры, если указанная разница принимает положительное значение либо принимается равной нулю.</w:t>
      </w:r>
    </w:p>
    <w:p w:rsidR="004C6974" w:rsidRDefault="004C6974">
      <w:pPr>
        <w:pStyle w:val="ConsPlusNormal"/>
        <w:spacing w:before="220"/>
        <w:ind w:firstLine="540"/>
        <w:jc w:val="both"/>
      </w:pPr>
      <w:r>
        <w:t>Если указанная разница принимает отрицательное значение, то параметры свободной мощности объекта инфраструктуры (Моб_инфр_св) рассчитываются по формуле:</w:t>
      </w:r>
    </w:p>
    <w:p w:rsidR="004C6974" w:rsidRDefault="004C6974">
      <w:pPr>
        <w:pStyle w:val="ConsPlusNormal"/>
        <w:ind w:firstLine="540"/>
        <w:jc w:val="both"/>
      </w:pPr>
    </w:p>
    <w:p w:rsidR="004C6974" w:rsidRDefault="004C6974">
      <w:pPr>
        <w:pStyle w:val="ConsPlusNormal"/>
        <w:jc w:val="center"/>
      </w:pPr>
      <w:r>
        <w:t>Моб_инфр_св = max (Моб_инфр - Моб_инфр_пр; 0),</w:t>
      </w:r>
    </w:p>
    <w:p w:rsidR="004C6974" w:rsidRDefault="004C6974">
      <w:pPr>
        <w:pStyle w:val="ConsPlusNormal"/>
        <w:jc w:val="center"/>
      </w:pPr>
    </w:p>
    <w:p w:rsidR="004C6974" w:rsidRDefault="004C6974">
      <w:pPr>
        <w:pStyle w:val="ConsPlusNormal"/>
        <w:ind w:firstLine="540"/>
        <w:jc w:val="both"/>
      </w:pPr>
      <w:r>
        <w:t>где:</w:t>
      </w:r>
    </w:p>
    <w:p w:rsidR="004C6974" w:rsidRDefault="004C6974">
      <w:pPr>
        <w:pStyle w:val="ConsPlusNormal"/>
        <w:spacing w:before="220"/>
        <w:ind w:firstLine="540"/>
        <w:jc w:val="both"/>
      </w:pPr>
      <w:r>
        <w:t>Моб_инфр - фактическая номинальная мощность объекта инфраструктуры, указанная в паспорте объекта инфраструктуры;</w:t>
      </w:r>
    </w:p>
    <w:p w:rsidR="004C6974" w:rsidRDefault="004C6974">
      <w:pPr>
        <w:pStyle w:val="ConsPlusNormal"/>
        <w:spacing w:before="220"/>
        <w:ind w:firstLine="540"/>
        <w:jc w:val="both"/>
      </w:pPr>
      <w:r>
        <w:t>Моб_инфр_пр - мощность объекта инфраструктуры, необходимая для обеспечения реализации проекта, указанная в паспорте объекта инфраструктуры.</w:t>
      </w:r>
    </w:p>
    <w:p w:rsidR="004C6974" w:rsidRDefault="004C6974">
      <w:pPr>
        <w:pStyle w:val="ConsPlusNormal"/>
        <w:jc w:val="both"/>
      </w:pPr>
    </w:p>
    <w:p w:rsidR="004C6974" w:rsidRDefault="004C6974">
      <w:pPr>
        <w:pStyle w:val="ConsPlusNormal"/>
        <w:jc w:val="both"/>
      </w:pPr>
    </w:p>
    <w:p w:rsidR="004C6974" w:rsidRDefault="004C69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5F" w:rsidRDefault="004C6974"/>
    <w:sectPr w:rsidR="0034485F" w:rsidSect="00C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74"/>
    <w:rsid w:val="004C6974"/>
    <w:rsid w:val="00806758"/>
    <w:rsid w:val="008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8427-1718-4E36-96F1-22733B58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6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6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085&amp;dst=1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702&amp;dst=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3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3702&amp;dst=1000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3702&amp;dst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Дарья Матиевна</dc:creator>
  <cp:keywords/>
  <dc:description/>
  <cp:lastModifiedBy>Артеева Дарья Матиевна</cp:lastModifiedBy>
  <cp:revision>1</cp:revision>
  <dcterms:created xsi:type="dcterms:W3CDTF">2024-02-29T08:58:00Z</dcterms:created>
  <dcterms:modified xsi:type="dcterms:W3CDTF">2024-02-29T08:59:00Z</dcterms:modified>
</cp:coreProperties>
</file>